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1C" w:rsidRPr="00DF7A98" w:rsidRDefault="00635BCA" w:rsidP="000D1E12">
      <w:pPr>
        <w:pStyle w:val="Default"/>
        <w:jc w:val="center"/>
        <w:rPr>
          <w:rFonts w:asciiTheme="minorHAnsi" w:hAnsiTheme="minorHAnsi"/>
          <w:b/>
          <w:sz w:val="44"/>
          <w:szCs w:val="44"/>
          <w:u w:val="single"/>
        </w:rPr>
      </w:pPr>
      <w:r>
        <w:rPr>
          <w:rFonts w:asciiTheme="minorHAnsi" w:hAnsiTheme="minorHAnsi"/>
          <w:b/>
          <w:sz w:val="44"/>
          <w:szCs w:val="44"/>
          <w:u w:val="single"/>
        </w:rPr>
        <w:t>ACCESS AND EQUITY POLICY AND PROCEDURE</w:t>
      </w:r>
      <w:bookmarkStart w:id="0" w:name="_GoBack"/>
      <w:bookmarkEnd w:id="0"/>
    </w:p>
    <w:p w:rsidR="00DF7A98" w:rsidRPr="000D1E12" w:rsidRDefault="00DF7A98" w:rsidP="008A4B1C">
      <w:pPr>
        <w:pStyle w:val="Default"/>
        <w:jc w:val="center"/>
        <w:rPr>
          <w:b/>
          <w:sz w:val="16"/>
          <w:szCs w:val="16"/>
          <w:u w:val="single"/>
        </w:rPr>
      </w:pPr>
    </w:p>
    <w:p w:rsidR="008A4B1C" w:rsidRPr="00423874" w:rsidRDefault="008A4B1C" w:rsidP="008A4B1C">
      <w:pPr>
        <w:pStyle w:val="Default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423874">
        <w:rPr>
          <w:rFonts w:asciiTheme="minorHAnsi" w:hAnsiTheme="minorHAnsi"/>
          <w:b/>
          <w:sz w:val="28"/>
          <w:szCs w:val="28"/>
          <w:u w:val="single"/>
        </w:rPr>
        <w:t xml:space="preserve">Policy Purpose </w:t>
      </w:r>
    </w:p>
    <w:p w:rsidR="008A4B1C" w:rsidRPr="000538C9" w:rsidRDefault="008A4B1C" w:rsidP="008A4B1C">
      <w:pPr>
        <w:pStyle w:val="Default"/>
        <w:jc w:val="both"/>
        <w:rPr>
          <w:rFonts w:asciiTheme="minorHAnsi" w:hAnsiTheme="minorHAnsi"/>
        </w:rPr>
      </w:pPr>
      <w:r w:rsidRPr="000538C9">
        <w:rPr>
          <w:rFonts w:asciiTheme="minorHAnsi" w:hAnsiTheme="minorHAnsi"/>
        </w:rPr>
        <w:t xml:space="preserve">The purpose of this policy is: </w:t>
      </w:r>
    </w:p>
    <w:p w:rsidR="008A4B1C" w:rsidRPr="000538C9" w:rsidRDefault="008A4B1C" w:rsidP="008A4B1C">
      <w:pPr>
        <w:pStyle w:val="Default"/>
        <w:spacing w:before="60" w:after="60"/>
        <w:ind w:left="720" w:hanging="360"/>
        <w:jc w:val="both"/>
        <w:rPr>
          <w:rFonts w:asciiTheme="minorHAnsi" w:hAnsiTheme="minorHAnsi"/>
        </w:rPr>
      </w:pPr>
      <w:r w:rsidRPr="000538C9">
        <w:rPr>
          <w:rFonts w:asciiTheme="minorHAnsi" w:hAnsiTheme="minorHAnsi"/>
        </w:rPr>
        <w:t xml:space="preserve">• </w:t>
      </w:r>
      <w:r w:rsidR="00DF7A98" w:rsidRPr="000538C9">
        <w:rPr>
          <w:rFonts w:asciiTheme="minorHAnsi" w:hAnsiTheme="minorHAnsi"/>
        </w:rPr>
        <w:t>To</w:t>
      </w:r>
      <w:r w:rsidRPr="000538C9">
        <w:rPr>
          <w:rFonts w:asciiTheme="minorHAnsi" w:hAnsiTheme="minorHAnsi"/>
        </w:rPr>
        <w:t xml:space="preserve"> ensure reasonable adjustments are made to provide all </w:t>
      </w:r>
      <w:r w:rsidR="00DF7A98" w:rsidRPr="000538C9">
        <w:rPr>
          <w:rFonts w:asciiTheme="minorHAnsi" w:hAnsiTheme="minorHAnsi"/>
        </w:rPr>
        <w:t xml:space="preserve">staff including </w:t>
      </w:r>
      <w:r w:rsidR="006534C4" w:rsidRPr="000538C9">
        <w:rPr>
          <w:rFonts w:asciiTheme="minorHAnsi" w:hAnsiTheme="minorHAnsi"/>
        </w:rPr>
        <w:t>apprentices and trainees</w:t>
      </w:r>
      <w:r w:rsidRPr="000538C9">
        <w:rPr>
          <w:rFonts w:asciiTheme="minorHAnsi" w:hAnsiTheme="minorHAnsi"/>
        </w:rPr>
        <w:t xml:space="preserve"> with equitable access to f</w:t>
      </w:r>
      <w:r w:rsidR="006534C4" w:rsidRPr="000538C9">
        <w:rPr>
          <w:rFonts w:asciiTheme="minorHAnsi" w:hAnsiTheme="minorHAnsi"/>
        </w:rPr>
        <w:t>acilities and services provided.</w:t>
      </w:r>
      <w:r w:rsidRPr="000538C9">
        <w:rPr>
          <w:rFonts w:asciiTheme="minorHAnsi" w:hAnsiTheme="minorHAnsi"/>
        </w:rPr>
        <w:t xml:space="preserve"> </w:t>
      </w:r>
    </w:p>
    <w:p w:rsidR="008A4B1C" w:rsidRPr="000538C9" w:rsidRDefault="008A4B1C" w:rsidP="008A4B1C">
      <w:pPr>
        <w:pStyle w:val="Default"/>
        <w:spacing w:before="60" w:after="60"/>
        <w:ind w:left="720" w:hanging="360"/>
        <w:jc w:val="both"/>
        <w:rPr>
          <w:rFonts w:asciiTheme="minorHAnsi" w:hAnsiTheme="minorHAnsi"/>
        </w:rPr>
      </w:pPr>
      <w:r w:rsidRPr="000538C9">
        <w:rPr>
          <w:rFonts w:asciiTheme="minorHAnsi" w:hAnsiTheme="minorHAnsi"/>
        </w:rPr>
        <w:t xml:space="preserve">• </w:t>
      </w:r>
      <w:r w:rsidR="00DF7A98" w:rsidRPr="000538C9">
        <w:rPr>
          <w:rFonts w:asciiTheme="minorHAnsi" w:hAnsiTheme="minorHAnsi"/>
        </w:rPr>
        <w:t>To</w:t>
      </w:r>
      <w:r w:rsidRPr="000538C9">
        <w:rPr>
          <w:rFonts w:asciiTheme="minorHAnsi" w:hAnsiTheme="minorHAnsi"/>
        </w:rPr>
        <w:t xml:space="preserve"> ensure </w:t>
      </w:r>
      <w:r w:rsidR="00DF7A98" w:rsidRPr="000538C9">
        <w:rPr>
          <w:rFonts w:asciiTheme="minorHAnsi" w:hAnsiTheme="minorHAnsi"/>
        </w:rPr>
        <w:t xml:space="preserve">all staff including </w:t>
      </w:r>
      <w:r w:rsidR="006534C4" w:rsidRPr="000538C9">
        <w:rPr>
          <w:rFonts w:asciiTheme="minorHAnsi" w:hAnsiTheme="minorHAnsi"/>
        </w:rPr>
        <w:t xml:space="preserve">apprentices and trainees </w:t>
      </w:r>
      <w:r w:rsidRPr="000538C9">
        <w:rPr>
          <w:rFonts w:asciiTheme="minorHAnsi" w:hAnsiTheme="minorHAnsi"/>
        </w:rPr>
        <w:t xml:space="preserve">have reasonable and appropriate academic and learning support where required; </w:t>
      </w:r>
    </w:p>
    <w:p w:rsidR="008A4B1C" w:rsidRPr="000538C9" w:rsidRDefault="008A4B1C" w:rsidP="008A4B1C">
      <w:pPr>
        <w:pStyle w:val="Default"/>
        <w:spacing w:before="60" w:after="60"/>
        <w:ind w:left="720" w:hanging="360"/>
        <w:jc w:val="both"/>
        <w:rPr>
          <w:rFonts w:asciiTheme="minorHAnsi" w:hAnsiTheme="minorHAnsi"/>
        </w:rPr>
      </w:pPr>
      <w:r w:rsidRPr="000538C9">
        <w:rPr>
          <w:rFonts w:asciiTheme="minorHAnsi" w:hAnsiTheme="minorHAnsi"/>
        </w:rPr>
        <w:t xml:space="preserve">• </w:t>
      </w:r>
      <w:r w:rsidR="00DF7A98" w:rsidRPr="000538C9">
        <w:rPr>
          <w:rFonts w:asciiTheme="minorHAnsi" w:hAnsiTheme="minorHAnsi"/>
        </w:rPr>
        <w:t>To</w:t>
      </w:r>
      <w:r w:rsidRPr="000538C9">
        <w:rPr>
          <w:rFonts w:asciiTheme="minorHAnsi" w:hAnsiTheme="minorHAnsi"/>
        </w:rPr>
        <w:t xml:space="preserve"> meet the various compliance requirements imposed by legislation. </w:t>
      </w:r>
    </w:p>
    <w:p w:rsidR="008A4B1C" w:rsidRPr="000538C9" w:rsidRDefault="008A4B1C" w:rsidP="008A4B1C">
      <w:pPr>
        <w:pStyle w:val="Default"/>
        <w:rPr>
          <w:rFonts w:asciiTheme="minorHAnsi" w:hAnsiTheme="minorHAnsi"/>
        </w:rPr>
      </w:pPr>
    </w:p>
    <w:p w:rsidR="008A4B1C" w:rsidRPr="00423874" w:rsidRDefault="008A4B1C" w:rsidP="008A4B1C">
      <w:pPr>
        <w:pStyle w:val="Default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423874">
        <w:rPr>
          <w:rFonts w:asciiTheme="minorHAnsi" w:hAnsiTheme="minorHAnsi"/>
          <w:b/>
          <w:sz w:val="28"/>
          <w:szCs w:val="28"/>
          <w:u w:val="single"/>
        </w:rPr>
        <w:t xml:space="preserve">Policy Scope </w:t>
      </w:r>
    </w:p>
    <w:p w:rsidR="008A4B1C" w:rsidRPr="000538C9" w:rsidRDefault="008A4B1C" w:rsidP="008A4B1C">
      <w:pPr>
        <w:pStyle w:val="Default"/>
        <w:spacing w:after="100"/>
        <w:rPr>
          <w:rFonts w:asciiTheme="minorHAnsi" w:hAnsiTheme="minorHAnsi"/>
        </w:rPr>
      </w:pPr>
      <w:r w:rsidRPr="000538C9">
        <w:rPr>
          <w:rFonts w:asciiTheme="minorHAnsi" w:hAnsiTheme="minorHAnsi"/>
        </w:rPr>
        <w:t xml:space="preserve">This policy applies to </w:t>
      </w:r>
      <w:r w:rsidR="006534C4" w:rsidRPr="000538C9">
        <w:rPr>
          <w:rFonts w:asciiTheme="minorHAnsi" w:hAnsiTheme="minorHAnsi"/>
        </w:rPr>
        <w:t xml:space="preserve">all </w:t>
      </w:r>
      <w:r w:rsidR="00DF7A98" w:rsidRPr="000538C9">
        <w:rPr>
          <w:rFonts w:asciiTheme="minorHAnsi" w:hAnsiTheme="minorHAnsi"/>
        </w:rPr>
        <w:t xml:space="preserve">staff including </w:t>
      </w:r>
      <w:r w:rsidR="006534C4" w:rsidRPr="000538C9">
        <w:rPr>
          <w:rFonts w:asciiTheme="minorHAnsi" w:hAnsiTheme="minorHAnsi"/>
        </w:rPr>
        <w:t>apprentices and trainees</w:t>
      </w:r>
      <w:r w:rsidRPr="000538C9">
        <w:rPr>
          <w:rFonts w:asciiTheme="minorHAnsi" w:hAnsiTheme="minorHAnsi"/>
        </w:rPr>
        <w:t xml:space="preserve">. </w:t>
      </w:r>
    </w:p>
    <w:p w:rsidR="00DF7A98" w:rsidRPr="000538C9" w:rsidRDefault="00DF7A98" w:rsidP="00717132">
      <w:pPr>
        <w:pStyle w:val="Default"/>
        <w:rPr>
          <w:rFonts w:asciiTheme="minorHAnsi" w:hAnsiTheme="minorHAnsi"/>
        </w:rPr>
      </w:pPr>
    </w:p>
    <w:p w:rsidR="008A4B1C" w:rsidRPr="00423874" w:rsidRDefault="008A4B1C" w:rsidP="008A4B1C">
      <w:pPr>
        <w:pStyle w:val="Default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423874">
        <w:rPr>
          <w:rFonts w:asciiTheme="minorHAnsi" w:hAnsiTheme="minorHAnsi"/>
          <w:b/>
          <w:sz w:val="28"/>
          <w:szCs w:val="28"/>
          <w:u w:val="single"/>
        </w:rPr>
        <w:t xml:space="preserve">Policy Content </w:t>
      </w:r>
    </w:p>
    <w:p w:rsidR="00DF7A98" w:rsidRPr="000538C9" w:rsidRDefault="00DF7A98" w:rsidP="008A4B1C">
      <w:pPr>
        <w:pStyle w:val="Default"/>
        <w:jc w:val="both"/>
        <w:rPr>
          <w:rFonts w:asciiTheme="minorHAnsi" w:hAnsiTheme="minorHAnsi"/>
          <w:b/>
          <w:u w:val="single"/>
        </w:rPr>
      </w:pPr>
    </w:p>
    <w:p w:rsidR="008A4B1C" w:rsidRPr="000538C9" w:rsidRDefault="00DF7A98" w:rsidP="008A4B1C">
      <w:pPr>
        <w:pStyle w:val="Default"/>
        <w:rPr>
          <w:rFonts w:asciiTheme="minorHAnsi" w:hAnsiTheme="minorHAnsi"/>
        </w:rPr>
      </w:pPr>
      <w:r w:rsidRPr="000538C9">
        <w:rPr>
          <w:rFonts w:asciiTheme="minorHAnsi" w:hAnsiTheme="minorHAnsi"/>
        </w:rPr>
        <w:t>This policy outlines the reasonable a</w:t>
      </w:r>
      <w:r w:rsidR="008A4B1C" w:rsidRPr="000538C9">
        <w:rPr>
          <w:rFonts w:asciiTheme="minorHAnsi" w:hAnsiTheme="minorHAnsi"/>
        </w:rPr>
        <w:t>djustment</w:t>
      </w:r>
      <w:r w:rsidR="006534C4" w:rsidRPr="000538C9">
        <w:rPr>
          <w:rFonts w:asciiTheme="minorHAnsi" w:hAnsiTheme="minorHAnsi"/>
        </w:rPr>
        <w:t xml:space="preserve">s and facilities, services, </w:t>
      </w:r>
      <w:r w:rsidR="008A4B1C" w:rsidRPr="000538C9">
        <w:rPr>
          <w:rFonts w:asciiTheme="minorHAnsi" w:hAnsiTheme="minorHAnsi"/>
        </w:rPr>
        <w:t xml:space="preserve">academic and learning support that should be available to </w:t>
      </w:r>
      <w:r w:rsidRPr="000538C9">
        <w:rPr>
          <w:rFonts w:asciiTheme="minorHAnsi" w:hAnsiTheme="minorHAnsi"/>
        </w:rPr>
        <w:t xml:space="preserve">all staff including </w:t>
      </w:r>
      <w:r w:rsidR="006534C4" w:rsidRPr="000538C9">
        <w:rPr>
          <w:rFonts w:asciiTheme="minorHAnsi" w:hAnsiTheme="minorHAnsi"/>
        </w:rPr>
        <w:t>apprentices and trainees</w:t>
      </w:r>
      <w:r w:rsidR="008A4B1C" w:rsidRPr="000538C9">
        <w:rPr>
          <w:rFonts w:asciiTheme="minorHAnsi" w:hAnsiTheme="minorHAnsi"/>
        </w:rPr>
        <w:t xml:space="preserve">. </w:t>
      </w:r>
      <w:r w:rsidR="002D0817" w:rsidRPr="000538C9">
        <w:rPr>
          <w:rFonts w:asciiTheme="minorHAnsi" w:hAnsiTheme="minorHAnsi"/>
        </w:rPr>
        <w:t>OGT</w:t>
      </w:r>
      <w:r w:rsidR="008A4B1C" w:rsidRPr="000538C9">
        <w:rPr>
          <w:rFonts w:asciiTheme="minorHAnsi" w:hAnsiTheme="minorHAnsi"/>
        </w:rPr>
        <w:t xml:space="preserve"> is committed to supporting all </w:t>
      </w:r>
      <w:r w:rsidRPr="000538C9">
        <w:rPr>
          <w:rFonts w:asciiTheme="minorHAnsi" w:hAnsiTheme="minorHAnsi"/>
        </w:rPr>
        <w:t xml:space="preserve">staff including </w:t>
      </w:r>
      <w:r w:rsidR="006534C4" w:rsidRPr="000538C9">
        <w:rPr>
          <w:rFonts w:asciiTheme="minorHAnsi" w:hAnsiTheme="minorHAnsi"/>
        </w:rPr>
        <w:t>apprentices and trainees</w:t>
      </w:r>
      <w:r w:rsidR="008A4B1C" w:rsidRPr="000538C9">
        <w:rPr>
          <w:rFonts w:asciiTheme="minorHAnsi" w:hAnsiTheme="minorHAnsi"/>
        </w:rPr>
        <w:t xml:space="preserve"> with special needs. </w:t>
      </w:r>
    </w:p>
    <w:p w:rsidR="008A4B1C" w:rsidRPr="000538C9" w:rsidRDefault="002D0817" w:rsidP="008A4B1C">
      <w:pPr>
        <w:pStyle w:val="Default"/>
        <w:rPr>
          <w:rFonts w:asciiTheme="minorHAnsi" w:hAnsiTheme="minorHAnsi"/>
        </w:rPr>
      </w:pPr>
      <w:r w:rsidRPr="000538C9">
        <w:rPr>
          <w:rFonts w:asciiTheme="minorHAnsi" w:hAnsiTheme="minorHAnsi"/>
        </w:rPr>
        <w:t>OGT</w:t>
      </w:r>
      <w:r w:rsidR="008A4B1C" w:rsidRPr="000538C9">
        <w:rPr>
          <w:rFonts w:asciiTheme="minorHAnsi" w:hAnsiTheme="minorHAnsi"/>
        </w:rPr>
        <w:t xml:space="preserve"> shall </w:t>
      </w:r>
      <w:r w:rsidR="00DF7A98" w:rsidRPr="000538C9">
        <w:rPr>
          <w:rFonts w:asciiTheme="minorHAnsi" w:hAnsiTheme="minorHAnsi"/>
        </w:rPr>
        <w:t>endeavour</w:t>
      </w:r>
      <w:r w:rsidR="008A4B1C" w:rsidRPr="000538C9">
        <w:rPr>
          <w:rFonts w:asciiTheme="minorHAnsi" w:hAnsiTheme="minorHAnsi"/>
        </w:rPr>
        <w:t xml:space="preserve"> to ensure that equal access and opportunity is provided for the following designated groups: women, Aboriginal and Torres Strait Islander peoples, people from culturally and linguistically diverse backgrounds, people who have a disability, and o</w:t>
      </w:r>
      <w:r w:rsidR="00DF7A98" w:rsidRPr="000538C9">
        <w:rPr>
          <w:rFonts w:asciiTheme="minorHAnsi" w:hAnsiTheme="minorHAnsi"/>
        </w:rPr>
        <w:t>ther groups as determined by</w:t>
      </w:r>
      <w:r w:rsidR="008A4B1C" w:rsidRPr="000538C9">
        <w:rPr>
          <w:rFonts w:asciiTheme="minorHAnsi" w:hAnsiTheme="minorHAnsi"/>
        </w:rPr>
        <w:t xml:space="preserve"> </w:t>
      </w:r>
      <w:r w:rsidR="006534C4" w:rsidRPr="000538C9">
        <w:rPr>
          <w:rFonts w:asciiTheme="minorHAnsi" w:hAnsiTheme="minorHAnsi"/>
        </w:rPr>
        <w:t>Manag</w:t>
      </w:r>
      <w:r w:rsidR="00DF7A98" w:rsidRPr="000538C9">
        <w:rPr>
          <w:rFonts w:asciiTheme="minorHAnsi" w:hAnsiTheme="minorHAnsi"/>
        </w:rPr>
        <w:t xml:space="preserve">ement </w:t>
      </w:r>
      <w:r w:rsidR="008A4B1C" w:rsidRPr="000538C9">
        <w:rPr>
          <w:rFonts w:asciiTheme="minorHAnsi" w:hAnsiTheme="minorHAnsi"/>
        </w:rPr>
        <w:t xml:space="preserve">from time to time. </w:t>
      </w:r>
    </w:p>
    <w:p w:rsidR="006534C4" w:rsidRPr="000538C9" w:rsidRDefault="006534C4" w:rsidP="008A4B1C">
      <w:pPr>
        <w:pStyle w:val="Default"/>
        <w:jc w:val="both"/>
        <w:rPr>
          <w:rFonts w:asciiTheme="minorHAnsi" w:hAnsiTheme="minorHAnsi"/>
        </w:rPr>
      </w:pPr>
    </w:p>
    <w:p w:rsidR="008A4B1C" w:rsidRPr="00423874" w:rsidRDefault="006534C4" w:rsidP="008A4B1C">
      <w:pPr>
        <w:pStyle w:val="Default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423874">
        <w:rPr>
          <w:rFonts w:asciiTheme="minorHAnsi" w:hAnsiTheme="minorHAnsi"/>
          <w:b/>
          <w:sz w:val="28"/>
          <w:szCs w:val="28"/>
          <w:u w:val="single"/>
        </w:rPr>
        <w:t>Recruitment</w:t>
      </w:r>
    </w:p>
    <w:p w:rsidR="00DF7A98" w:rsidRPr="000538C9" w:rsidRDefault="00DF7A98" w:rsidP="008A4B1C">
      <w:pPr>
        <w:pStyle w:val="Default"/>
        <w:jc w:val="both"/>
        <w:rPr>
          <w:rFonts w:asciiTheme="minorHAnsi" w:hAnsiTheme="minorHAnsi"/>
          <w:b/>
          <w:u w:val="single"/>
        </w:rPr>
      </w:pPr>
    </w:p>
    <w:p w:rsidR="005D4E09" w:rsidRPr="000538C9" w:rsidRDefault="008A4B1C" w:rsidP="005D4E09">
      <w:pPr>
        <w:pStyle w:val="Default"/>
        <w:jc w:val="both"/>
        <w:rPr>
          <w:rFonts w:asciiTheme="minorHAnsi" w:hAnsiTheme="minorHAnsi"/>
        </w:rPr>
      </w:pPr>
      <w:r w:rsidRPr="000538C9">
        <w:rPr>
          <w:rFonts w:asciiTheme="minorHAnsi" w:hAnsiTheme="minorHAnsi"/>
        </w:rPr>
        <w:t xml:space="preserve">Recruitment processes and policies are free from discrimination and are based on the requirement that </w:t>
      </w:r>
      <w:r w:rsidR="00DF7A98" w:rsidRPr="000538C9">
        <w:rPr>
          <w:rFonts w:asciiTheme="minorHAnsi" w:hAnsiTheme="minorHAnsi"/>
        </w:rPr>
        <w:t xml:space="preserve">all new employees including </w:t>
      </w:r>
      <w:r w:rsidR="006534C4" w:rsidRPr="000538C9">
        <w:rPr>
          <w:rFonts w:asciiTheme="minorHAnsi" w:hAnsiTheme="minorHAnsi"/>
        </w:rPr>
        <w:t>apprentices and trainees</w:t>
      </w:r>
      <w:r w:rsidRPr="000538C9">
        <w:rPr>
          <w:rFonts w:asciiTheme="minorHAnsi" w:hAnsiTheme="minorHAnsi"/>
        </w:rPr>
        <w:t xml:space="preserve"> mee</w:t>
      </w:r>
      <w:r w:rsidR="00DF7A98" w:rsidRPr="000538C9">
        <w:rPr>
          <w:rFonts w:asciiTheme="minorHAnsi" w:hAnsiTheme="minorHAnsi"/>
        </w:rPr>
        <w:t xml:space="preserve">t published </w:t>
      </w:r>
      <w:r w:rsidR="005D4E09" w:rsidRPr="000538C9">
        <w:rPr>
          <w:rFonts w:asciiTheme="minorHAnsi" w:hAnsiTheme="minorHAnsi"/>
        </w:rPr>
        <w:t xml:space="preserve">entry criteria for the position. </w:t>
      </w:r>
      <w:r w:rsidRPr="000538C9">
        <w:rPr>
          <w:rFonts w:asciiTheme="minorHAnsi" w:hAnsiTheme="minorHAnsi"/>
        </w:rPr>
        <w:t xml:space="preserve">Access and equity issues are considered when setting </w:t>
      </w:r>
      <w:r w:rsidR="006534C4" w:rsidRPr="000538C9">
        <w:rPr>
          <w:rFonts w:asciiTheme="minorHAnsi" w:hAnsiTheme="minorHAnsi"/>
        </w:rPr>
        <w:t>job</w:t>
      </w:r>
      <w:r w:rsidRPr="000538C9">
        <w:rPr>
          <w:rFonts w:asciiTheme="minorHAnsi" w:hAnsiTheme="minorHAnsi"/>
        </w:rPr>
        <w:t xml:space="preserve"> requirements and prerequisites. </w:t>
      </w:r>
      <w:r w:rsidR="005D4E09" w:rsidRPr="000538C9">
        <w:rPr>
          <w:rFonts w:asciiTheme="minorHAnsi" w:hAnsiTheme="minorHAnsi"/>
        </w:rPr>
        <w:t xml:space="preserve">Teaching and learning documents are </w:t>
      </w:r>
      <w:r w:rsidR="00D5335A" w:rsidRPr="000538C9">
        <w:rPr>
          <w:rFonts w:asciiTheme="minorHAnsi" w:hAnsiTheme="minorHAnsi"/>
        </w:rPr>
        <w:t xml:space="preserve">to be </w:t>
      </w:r>
      <w:r w:rsidR="005D4E09" w:rsidRPr="000538C9">
        <w:rPr>
          <w:rFonts w:asciiTheme="minorHAnsi" w:hAnsiTheme="minorHAnsi"/>
        </w:rPr>
        <w:t xml:space="preserve">non-discriminatory, avoiding inclusive language and examples. </w:t>
      </w:r>
    </w:p>
    <w:p w:rsidR="006534C4" w:rsidRPr="000538C9" w:rsidRDefault="006534C4" w:rsidP="008A4B1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860D9" w:rsidRDefault="002860D9" w:rsidP="008A4B1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:rsidR="00AF7031" w:rsidRDefault="005D4E09" w:rsidP="008A4B1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538C9">
        <w:rPr>
          <w:rFonts w:asciiTheme="minorHAnsi" w:hAnsiTheme="minorHAnsi"/>
          <w:b/>
          <w:sz w:val="22"/>
          <w:szCs w:val="22"/>
        </w:rPr>
        <w:t>Organizations to contact for more information</w:t>
      </w:r>
    </w:p>
    <w:p w:rsidR="000538C9" w:rsidRPr="000538C9" w:rsidRDefault="000538C9" w:rsidP="008A4B1C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:rsidR="00AF7031" w:rsidRPr="000538C9" w:rsidRDefault="000538C9" w:rsidP="008A4B1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Epic Employment Services</w:t>
      </w:r>
      <w:r w:rsidR="00423874">
        <w:rPr>
          <w:rFonts w:asciiTheme="minorHAnsi" w:hAnsiTheme="minorHAnsi"/>
          <w:sz w:val="22"/>
          <w:szCs w:val="22"/>
        </w:rPr>
        <w:t xml:space="preserve">              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5" w:history="1">
        <w:r w:rsidR="000D1E12" w:rsidRPr="000538C9">
          <w:rPr>
            <w:rStyle w:val="Hyperlink"/>
            <w:rFonts w:asciiTheme="minorHAnsi" w:hAnsiTheme="minorHAnsi"/>
            <w:sz w:val="22"/>
            <w:szCs w:val="22"/>
          </w:rPr>
          <w:t>http://www.epic.org.au/</w:t>
        </w:r>
      </w:hyperlink>
    </w:p>
    <w:p w:rsidR="000D1E12" w:rsidRDefault="000D1E12" w:rsidP="008A4B1C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0D1E12" w:rsidRPr="00717132" w:rsidRDefault="000D1E12" w:rsidP="000D1E12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717132">
        <w:rPr>
          <w:rFonts w:asciiTheme="minorHAnsi" w:hAnsiTheme="minorHAnsi"/>
          <w:sz w:val="22"/>
          <w:szCs w:val="22"/>
        </w:rPr>
        <w:t xml:space="preserve">Sex Discrimination Act 1984 </w:t>
      </w:r>
      <w:hyperlink r:id="rId6" w:history="1">
        <w:r w:rsidRPr="00717132">
          <w:rPr>
            <w:rStyle w:val="Hyperlink"/>
            <w:rFonts w:asciiTheme="minorHAnsi" w:hAnsiTheme="minorHAnsi"/>
            <w:sz w:val="22"/>
            <w:szCs w:val="22"/>
          </w:rPr>
          <w:t>http://www.austlii.edu.au/au/legis/cth/consol_act/sda1984209/</w:t>
        </w:r>
      </w:hyperlink>
    </w:p>
    <w:p w:rsidR="000D1E12" w:rsidRDefault="000D1E12" w:rsidP="000D1E12">
      <w:pPr>
        <w:pStyle w:val="Default"/>
        <w:rPr>
          <w:rFonts w:asciiTheme="minorHAnsi" w:hAnsiTheme="minorHAnsi"/>
          <w:u w:val="single"/>
        </w:rPr>
      </w:pPr>
    </w:p>
    <w:p w:rsidR="000D1E12" w:rsidRPr="000538C9" w:rsidRDefault="000D1E12" w:rsidP="000D1E12">
      <w:pPr>
        <w:pStyle w:val="Default"/>
        <w:rPr>
          <w:rFonts w:asciiTheme="minorHAnsi" w:hAnsiTheme="minorHAnsi"/>
          <w:sz w:val="22"/>
          <w:szCs w:val="22"/>
        </w:rPr>
      </w:pPr>
      <w:r w:rsidRPr="000538C9">
        <w:rPr>
          <w:rFonts w:asciiTheme="minorHAnsi" w:hAnsiTheme="minorHAnsi"/>
          <w:sz w:val="22"/>
          <w:szCs w:val="22"/>
        </w:rPr>
        <w:t>Anti-Discrimination Act 1977</w:t>
      </w:r>
      <w:r w:rsidR="00423874">
        <w:rPr>
          <w:rFonts w:asciiTheme="minorHAnsi" w:hAnsiTheme="minorHAnsi"/>
          <w:sz w:val="22"/>
          <w:szCs w:val="22"/>
        </w:rPr>
        <w:t xml:space="preserve">            </w:t>
      </w:r>
      <w:r w:rsidRPr="000538C9">
        <w:rPr>
          <w:rFonts w:asciiTheme="minorHAnsi" w:hAnsiTheme="minorHAnsi"/>
          <w:sz w:val="22"/>
          <w:szCs w:val="22"/>
        </w:rPr>
        <w:t xml:space="preserve"> </w:t>
      </w:r>
      <w:r w:rsidRPr="00423874">
        <w:rPr>
          <w:rFonts w:asciiTheme="minorHAnsi" w:hAnsiTheme="minorHAnsi"/>
          <w:color w:val="17365D" w:themeColor="text2" w:themeShade="BF"/>
          <w:sz w:val="22"/>
          <w:szCs w:val="22"/>
          <w:u w:val="single"/>
        </w:rPr>
        <w:t xml:space="preserve">www.austlii.edu.au/au/legis/nsw/consol_act/aa1977204 </w:t>
      </w:r>
    </w:p>
    <w:p w:rsidR="000D1E12" w:rsidRDefault="000D1E12" w:rsidP="000D1E12">
      <w:pPr>
        <w:pStyle w:val="Default"/>
        <w:rPr>
          <w:rFonts w:asciiTheme="minorHAnsi" w:hAnsiTheme="minorHAnsi"/>
          <w:sz w:val="28"/>
          <w:szCs w:val="28"/>
        </w:rPr>
      </w:pPr>
    </w:p>
    <w:p w:rsidR="000D1E12" w:rsidRDefault="000D1E12" w:rsidP="000D1E12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</w:rPr>
        <w:t>Disability Services Act 1993</w:t>
      </w:r>
      <w:r w:rsidR="0042387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Pr="00423874">
        <w:rPr>
          <w:color w:val="17365D" w:themeColor="text2" w:themeShade="BF"/>
          <w:sz w:val="20"/>
          <w:szCs w:val="20"/>
          <w:u w:val="single"/>
        </w:rPr>
        <w:t xml:space="preserve">www.austlii.edu.au/au/legis/nsw/consol_act/dsa1993213 </w:t>
      </w:r>
    </w:p>
    <w:p w:rsidR="000D1E12" w:rsidRDefault="000D1E12" w:rsidP="000D1E12">
      <w:pPr>
        <w:pStyle w:val="Default"/>
        <w:rPr>
          <w:sz w:val="20"/>
          <w:szCs w:val="20"/>
          <w:u w:val="single"/>
        </w:rPr>
      </w:pPr>
    </w:p>
    <w:p w:rsidR="000D1E12" w:rsidRDefault="000D1E12" w:rsidP="000D1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Australian Dyslexia Association 07 5576 5045 </w:t>
      </w:r>
      <w:r w:rsidR="000538C9">
        <w:rPr>
          <w:sz w:val="20"/>
          <w:szCs w:val="20"/>
        </w:rPr>
        <w:t>SPELD NSW (dyslexia)</w:t>
      </w:r>
      <w:r w:rsidR="00423874">
        <w:rPr>
          <w:sz w:val="20"/>
          <w:szCs w:val="20"/>
        </w:rPr>
        <w:t xml:space="preserve">  </w:t>
      </w:r>
      <w:r w:rsidR="000538C9">
        <w:rPr>
          <w:sz w:val="20"/>
          <w:szCs w:val="20"/>
        </w:rPr>
        <w:t xml:space="preserve"> </w:t>
      </w:r>
      <w:hyperlink r:id="rId7" w:history="1">
        <w:r w:rsidR="000538C9" w:rsidRPr="00423874">
          <w:rPr>
            <w:rStyle w:val="Hyperlink"/>
            <w:color w:val="17365D" w:themeColor="text2" w:themeShade="BF"/>
            <w:sz w:val="20"/>
            <w:szCs w:val="20"/>
          </w:rPr>
          <w:t>www.speldnsw.org.au</w:t>
        </w:r>
      </w:hyperlink>
    </w:p>
    <w:p w:rsidR="000D1E12" w:rsidRDefault="000D1E12" w:rsidP="000D1E12">
      <w:pPr>
        <w:pStyle w:val="Default"/>
        <w:rPr>
          <w:sz w:val="20"/>
          <w:szCs w:val="20"/>
          <w:u w:val="single"/>
        </w:rPr>
      </w:pPr>
    </w:p>
    <w:p w:rsidR="000D1E12" w:rsidRDefault="000D1E12" w:rsidP="000D1E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Racial Discrimination Act 1975</w:t>
      </w:r>
      <w:r w:rsidR="0042387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423874">
        <w:rPr>
          <w:color w:val="17365D" w:themeColor="text2" w:themeShade="BF"/>
          <w:sz w:val="20"/>
          <w:szCs w:val="20"/>
          <w:u w:val="single"/>
        </w:rPr>
        <w:t>http://www.austlii.edu.au/au/legis/cth/consol_act/rda1975202/</w:t>
      </w:r>
    </w:p>
    <w:p w:rsidR="000D1E12" w:rsidRDefault="000D1E12" w:rsidP="000D1E12">
      <w:pPr>
        <w:pStyle w:val="Default"/>
        <w:rPr>
          <w:sz w:val="20"/>
          <w:szCs w:val="20"/>
        </w:rPr>
      </w:pPr>
    </w:p>
    <w:p w:rsidR="000D1E12" w:rsidRPr="000538C9" w:rsidRDefault="000D1E12" w:rsidP="008A4B1C">
      <w:pPr>
        <w:pStyle w:val="Default"/>
        <w:jc w:val="both"/>
        <w:rPr>
          <w:sz w:val="20"/>
          <w:szCs w:val="20"/>
        </w:rPr>
      </w:pPr>
    </w:p>
    <w:sectPr w:rsidR="000D1E12" w:rsidRPr="00053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iable">
    <w:altName w:val="Variab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1C"/>
    <w:rsid w:val="000538C9"/>
    <w:rsid w:val="000D1E12"/>
    <w:rsid w:val="002860D9"/>
    <w:rsid w:val="002D0817"/>
    <w:rsid w:val="003237F7"/>
    <w:rsid w:val="00423874"/>
    <w:rsid w:val="005D4E09"/>
    <w:rsid w:val="00635BCA"/>
    <w:rsid w:val="006534C4"/>
    <w:rsid w:val="00655662"/>
    <w:rsid w:val="00717132"/>
    <w:rsid w:val="008A4B1C"/>
    <w:rsid w:val="009C3BEB"/>
    <w:rsid w:val="00AD489F"/>
    <w:rsid w:val="00AF7031"/>
    <w:rsid w:val="00D5335A"/>
    <w:rsid w:val="00D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4B1C"/>
    <w:pPr>
      <w:autoSpaceDE w:val="0"/>
      <w:autoSpaceDN w:val="0"/>
      <w:adjustRightInd w:val="0"/>
      <w:spacing w:after="0" w:line="240" w:lineRule="auto"/>
    </w:pPr>
    <w:rPr>
      <w:rFonts w:ascii="Variable" w:hAnsi="Variable" w:cs="Variab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1E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1E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4B1C"/>
    <w:pPr>
      <w:autoSpaceDE w:val="0"/>
      <w:autoSpaceDN w:val="0"/>
      <w:adjustRightInd w:val="0"/>
      <w:spacing w:after="0" w:line="240" w:lineRule="auto"/>
    </w:pPr>
    <w:rPr>
      <w:rFonts w:ascii="Variable" w:hAnsi="Variable" w:cs="Variab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1E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1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eldnsw.org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stlii.edu.au/au/legis/cth/consol_act/sda1984209/" TargetMode="External"/><Relationship Id="rId5" Type="http://schemas.openxmlformats.org/officeDocument/2006/relationships/hyperlink" Target="http://www.epic.org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Sinclair</dc:creator>
  <cp:lastModifiedBy>Andrew Sinclair</cp:lastModifiedBy>
  <cp:revision>7</cp:revision>
  <dcterms:created xsi:type="dcterms:W3CDTF">2013-07-23T02:48:00Z</dcterms:created>
  <dcterms:modified xsi:type="dcterms:W3CDTF">2013-07-24T22:50:00Z</dcterms:modified>
</cp:coreProperties>
</file>